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FA911" w14:textId="77777777" w:rsidR="00B80923" w:rsidRPr="00B80923" w:rsidRDefault="00B80923" w:rsidP="00B80923">
      <w:pPr>
        <w:keepNext/>
        <w:keepLines/>
        <w:spacing w:before="240" w:after="0" w:line="311" w:lineRule="auto"/>
        <w:ind w:left="10" w:hanging="10"/>
        <w:outlineLvl w:val="0"/>
        <w:rPr>
          <w:rFonts w:asciiTheme="majorHAnsi" w:eastAsiaTheme="majorEastAsia" w:hAnsiTheme="majorHAnsi" w:cstheme="majorBidi"/>
          <w:color w:val="2E74B5" w:themeColor="accent1" w:themeShade="BF"/>
          <w:sz w:val="32"/>
          <w:szCs w:val="32"/>
          <w:lang w:eastAsia="fi-FI"/>
        </w:rPr>
      </w:pPr>
      <w:r w:rsidRPr="00B80923">
        <w:rPr>
          <w:rFonts w:asciiTheme="majorHAnsi" w:eastAsiaTheme="majorEastAsia" w:hAnsiTheme="majorHAnsi" w:cstheme="majorBidi"/>
          <w:color w:val="00B050"/>
          <w:sz w:val="32"/>
          <w:szCs w:val="32"/>
          <w:lang w:eastAsia="fi-FI"/>
        </w:rPr>
        <w:t>Lähtötietolomake ja laskelman täyttöohje</w:t>
      </w:r>
    </w:p>
    <w:p w14:paraId="70E59D9B" w14:textId="77777777" w:rsidR="00B80923" w:rsidRPr="00B80923" w:rsidRDefault="00B80923" w:rsidP="00B80923">
      <w:pPr>
        <w:keepNext/>
        <w:keepLines/>
        <w:spacing w:before="40" w:after="0" w:line="311" w:lineRule="auto"/>
        <w:ind w:left="10" w:hanging="10"/>
        <w:outlineLvl w:val="1"/>
        <w:rPr>
          <w:rFonts w:asciiTheme="majorHAnsi" w:eastAsiaTheme="majorEastAsia" w:hAnsiTheme="majorHAnsi" w:cstheme="majorBidi"/>
          <w:color w:val="2E74B5" w:themeColor="accent1" w:themeShade="BF"/>
          <w:sz w:val="26"/>
          <w:szCs w:val="26"/>
          <w:lang w:eastAsia="fi-FI"/>
        </w:rPr>
      </w:pPr>
      <w:r w:rsidRPr="00B80923">
        <w:rPr>
          <w:rFonts w:asciiTheme="majorHAnsi" w:eastAsiaTheme="majorEastAsia" w:hAnsiTheme="majorHAnsi" w:cstheme="majorBidi"/>
          <w:color w:val="2E74B5" w:themeColor="accent1" w:themeShade="BF"/>
          <w:sz w:val="26"/>
          <w:szCs w:val="26"/>
          <w:lang w:eastAsia="fi-FI"/>
        </w:rPr>
        <w:t>Lähtötietolomakkeen täyttö</w:t>
      </w:r>
    </w:p>
    <w:p w14:paraId="33DC3880" w14:textId="77777777" w:rsidR="00B80923" w:rsidRPr="00B80923" w:rsidRDefault="00B80923" w:rsidP="00B80923">
      <w:pPr>
        <w:keepNext/>
        <w:keepLines/>
        <w:spacing w:before="40" w:after="0" w:line="311" w:lineRule="auto"/>
        <w:ind w:left="10" w:hanging="10"/>
        <w:outlineLvl w:val="2"/>
        <w:rPr>
          <w:rFonts w:asciiTheme="majorHAnsi" w:eastAsiaTheme="majorEastAsia" w:hAnsiTheme="majorHAnsi" w:cstheme="majorBidi"/>
          <w:color w:val="1F4D78" w:themeColor="accent1" w:themeShade="7F"/>
          <w:sz w:val="24"/>
          <w:szCs w:val="24"/>
          <w:lang w:eastAsia="fi-FI"/>
        </w:rPr>
      </w:pPr>
      <w:r w:rsidRPr="00B80923">
        <w:rPr>
          <w:rFonts w:asciiTheme="majorHAnsi" w:eastAsiaTheme="majorEastAsia" w:hAnsiTheme="majorHAnsi" w:cstheme="majorBidi"/>
          <w:color w:val="1F4D78" w:themeColor="accent1" w:themeShade="7F"/>
          <w:sz w:val="24"/>
          <w:szCs w:val="24"/>
          <w:lang w:eastAsia="fi-FI"/>
        </w:rPr>
        <w:t xml:space="preserve">Laskentataulukossa käytetyt kaavat ja arvot </w:t>
      </w:r>
    </w:p>
    <w:p w14:paraId="22704BA9" w14:textId="77777777" w:rsidR="00B80923" w:rsidRPr="00B80923" w:rsidRDefault="00B80923" w:rsidP="00B80923">
      <w:pPr>
        <w:numPr>
          <w:ilvl w:val="0"/>
          <w:numId w:val="1"/>
        </w:numPr>
        <w:spacing w:after="117" w:line="311" w:lineRule="auto"/>
        <w:contextualSpacing/>
        <w:rPr>
          <w:rFonts w:eastAsia="Times New Roman" w:cstheme="minorHAnsi"/>
          <w:color w:val="000000"/>
          <w:sz w:val="20"/>
          <w:szCs w:val="20"/>
          <w:lang w:eastAsia="fi-FI"/>
        </w:rPr>
      </w:pPr>
      <w:r w:rsidRPr="00B80923">
        <w:rPr>
          <w:rFonts w:eastAsia="Times New Roman" w:cstheme="minorHAnsi"/>
          <w:color w:val="000000"/>
          <w:sz w:val="20"/>
          <w:szCs w:val="20"/>
          <w:lang w:eastAsia="fi-FI"/>
        </w:rPr>
        <w:t xml:space="preserve">Mitoitusvirtaama määritellään yksinkertaisimmillaan kaavalla: Q = (C * i * A) /10 000, jossa Q [l/s] on mitoitusvirtaama, C on valumakerroin, i on mitoitussateen keskimääräinen intensiteetti (150 l/s*ha) ja A [ha] valuma-alueen pinta-ala. </w:t>
      </w:r>
    </w:p>
    <w:p w14:paraId="49135EF9" w14:textId="77777777" w:rsidR="00B80923" w:rsidRPr="00B80923" w:rsidRDefault="00B80923" w:rsidP="00B80923">
      <w:pPr>
        <w:numPr>
          <w:ilvl w:val="0"/>
          <w:numId w:val="1"/>
        </w:numPr>
        <w:spacing w:after="117" w:line="311" w:lineRule="auto"/>
        <w:contextualSpacing/>
        <w:rPr>
          <w:rFonts w:eastAsia="Times New Roman" w:cstheme="minorHAnsi"/>
          <w:color w:val="000000"/>
          <w:sz w:val="20"/>
          <w:szCs w:val="20"/>
          <w:lang w:eastAsia="fi-FI"/>
        </w:rPr>
      </w:pPr>
      <w:r w:rsidRPr="00B80923">
        <w:rPr>
          <w:rFonts w:eastAsia="Times New Roman" w:cstheme="minorHAnsi"/>
          <w:color w:val="000000"/>
          <w:sz w:val="20"/>
          <w:szCs w:val="20"/>
          <w:lang w:eastAsia="fi-FI"/>
        </w:rPr>
        <w:t xml:space="preserve">Huleveden määrä eli tilavuus määritellään kaavalla V = (C*i*A*t) / 1000, jossa V on huleveden määrä (m³), C on valumakerroin, i on mitoitussateen keskimääräinen intensiteetti (150 l/s*ha), A [ha] valuma-alueen pinta-ala ja t </w:t>
      </w:r>
      <w:proofErr w:type="gramStart"/>
      <w:r w:rsidRPr="00B80923">
        <w:rPr>
          <w:rFonts w:eastAsia="Times New Roman" w:cstheme="minorHAnsi"/>
          <w:color w:val="000000"/>
          <w:sz w:val="20"/>
          <w:szCs w:val="20"/>
          <w:lang w:eastAsia="fi-FI"/>
        </w:rPr>
        <w:t>on</w:t>
      </w:r>
      <w:proofErr w:type="gramEnd"/>
      <w:r w:rsidRPr="00B80923">
        <w:rPr>
          <w:rFonts w:eastAsia="Times New Roman" w:cstheme="minorHAnsi"/>
          <w:color w:val="000000"/>
          <w:sz w:val="20"/>
          <w:szCs w:val="20"/>
          <w:lang w:eastAsia="fi-FI"/>
        </w:rPr>
        <w:t xml:space="preserve"> mitoitussateen kesto (10min). </w:t>
      </w:r>
    </w:p>
    <w:p w14:paraId="072F425D" w14:textId="77777777" w:rsidR="00B80923" w:rsidRPr="00B80923" w:rsidRDefault="00B80923" w:rsidP="00B80923">
      <w:pPr>
        <w:numPr>
          <w:ilvl w:val="0"/>
          <w:numId w:val="1"/>
        </w:numPr>
        <w:spacing w:after="117" w:line="311" w:lineRule="auto"/>
        <w:contextualSpacing/>
        <w:rPr>
          <w:rFonts w:eastAsia="Times New Roman" w:cstheme="minorHAnsi"/>
          <w:color w:val="000000"/>
          <w:sz w:val="20"/>
          <w:szCs w:val="20"/>
          <w:lang w:eastAsia="fi-FI"/>
        </w:rPr>
      </w:pPr>
      <w:r w:rsidRPr="00B80923">
        <w:rPr>
          <w:rFonts w:eastAsia="Times New Roman" w:cstheme="minorHAnsi"/>
          <w:color w:val="000000"/>
          <w:sz w:val="20"/>
          <w:szCs w:val="20"/>
          <w:lang w:eastAsia="fi-FI"/>
        </w:rPr>
        <w:t xml:space="preserve">Tontilta saa poistua käsittelemättä se määrä hulevettä, joka tontilta poistuu luonnontilassa kuutioina. Luonnontilaisen tontin pintavalumakertoimena käytetään arvoa 0.2. </w:t>
      </w:r>
    </w:p>
    <w:p w14:paraId="3B119D56" w14:textId="77777777" w:rsidR="00B80923" w:rsidRPr="00B80923" w:rsidRDefault="00B80923" w:rsidP="00B80923">
      <w:pPr>
        <w:numPr>
          <w:ilvl w:val="0"/>
          <w:numId w:val="1"/>
        </w:numPr>
        <w:spacing w:after="117" w:line="311" w:lineRule="auto"/>
        <w:contextualSpacing/>
        <w:rPr>
          <w:rFonts w:eastAsia="Times New Roman" w:cstheme="minorHAnsi"/>
          <w:color w:val="000000"/>
          <w:sz w:val="20"/>
          <w:szCs w:val="20"/>
          <w:lang w:eastAsia="fi-FI"/>
        </w:rPr>
      </w:pPr>
      <w:r w:rsidRPr="00B80923">
        <w:rPr>
          <w:rFonts w:eastAsia="Times New Roman" w:cstheme="minorHAnsi"/>
          <w:color w:val="000000"/>
          <w:sz w:val="20"/>
          <w:szCs w:val="20"/>
          <w:lang w:eastAsia="fi-FI"/>
        </w:rPr>
        <w:t xml:space="preserve">Lähtötietolomakkeen täyttö aloitetaan syöttämällä perustiedot lähtötietolomakkeen laatijasta </w:t>
      </w:r>
      <w:r w:rsidRPr="00B80923">
        <w:rPr>
          <w:rFonts w:eastAsia="Times New Roman" w:cstheme="minorHAnsi"/>
          <w:b/>
          <w:color w:val="000000"/>
          <w:sz w:val="20"/>
          <w:szCs w:val="20"/>
          <w:lang w:eastAsia="fi-FI"/>
        </w:rPr>
        <w:t>(pääsuunnittelija)</w:t>
      </w:r>
      <w:r w:rsidRPr="00B80923">
        <w:rPr>
          <w:rFonts w:eastAsia="Times New Roman" w:cstheme="minorHAnsi"/>
          <w:color w:val="000000"/>
          <w:sz w:val="20"/>
          <w:szCs w:val="20"/>
          <w:lang w:eastAsia="fi-FI"/>
        </w:rPr>
        <w:t xml:space="preserve"> ja rakennuskohteesta.</w:t>
      </w:r>
    </w:p>
    <w:p w14:paraId="2DCDC4E2" w14:textId="77777777" w:rsidR="00B80923" w:rsidRPr="00B80923" w:rsidRDefault="00B80923" w:rsidP="00B80923">
      <w:pPr>
        <w:numPr>
          <w:ilvl w:val="0"/>
          <w:numId w:val="1"/>
        </w:numPr>
        <w:spacing w:after="117" w:line="311" w:lineRule="auto"/>
        <w:contextualSpacing/>
        <w:rPr>
          <w:rFonts w:eastAsia="Times New Roman" w:cstheme="minorHAnsi"/>
          <w:color w:val="000000"/>
          <w:sz w:val="20"/>
          <w:szCs w:val="20"/>
          <w:lang w:eastAsia="fi-FI"/>
        </w:rPr>
      </w:pPr>
      <w:r w:rsidRPr="00B80923">
        <w:rPr>
          <w:rFonts w:eastAsia="Times New Roman" w:cstheme="minorHAnsi"/>
          <w:color w:val="000000"/>
          <w:sz w:val="20"/>
          <w:szCs w:val="20"/>
          <w:lang w:eastAsia="fi-FI"/>
        </w:rPr>
        <w:t>Seuraavaksi taulukkoon syötetään neliötiedot rakennuspaikasta. Kattojen koot lasketaan kattopintojen vaakasuoran projektion mukaan. Kuistit ja katetut terassit jne. mukaan lukien. Laskelma tarkistaa, että syötetyt pinta-alat täsmäävät.</w:t>
      </w:r>
    </w:p>
    <w:p w14:paraId="4A06E75F" w14:textId="77777777" w:rsidR="00B80923" w:rsidRPr="00B80923" w:rsidRDefault="00B80923" w:rsidP="00B80923">
      <w:pPr>
        <w:numPr>
          <w:ilvl w:val="0"/>
          <w:numId w:val="1"/>
        </w:numPr>
        <w:spacing w:after="117" w:line="311" w:lineRule="auto"/>
        <w:contextualSpacing/>
        <w:rPr>
          <w:rFonts w:eastAsia="Times New Roman" w:cstheme="minorHAnsi"/>
          <w:color w:val="000000"/>
          <w:sz w:val="20"/>
          <w:szCs w:val="20"/>
          <w:lang w:eastAsia="fi-FI"/>
        </w:rPr>
      </w:pPr>
      <w:r w:rsidRPr="00B80923">
        <w:rPr>
          <w:rFonts w:eastAsia="Times New Roman" w:cstheme="minorHAnsi"/>
          <w:color w:val="000000"/>
          <w:sz w:val="20"/>
          <w:szCs w:val="20"/>
          <w:lang w:eastAsia="fi-FI"/>
        </w:rPr>
        <w:t>Tuloksena saadaan suora viivytettävä tilavuus, jos kaikki vapaat hulevedet johdetaan viivytysrakenteeseen. Esim. viivytyssäiliöön. Toisena osana laskelmaa saadaan tilavuus, joka tulee huomioida rankkasateen sattuessa. Tilavuuksissa on huomioitu sadetapahtuman aikainen sallittu virtaama ulos.</w:t>
      </w:r>
      <w:r>
        <w:rPr>
          <w:rFonts w:eastAsia="Times New Roman" w:cstheme="minorHAnsi"/>
          <w:color w:val="000000"/>
          <w:sz w:val="20"/>
          <w:szCs w:val="20"/>
          <w:lang w:eastAsia="fi-FI"/>
        </w:rPr>
        <w:t xml:space="preserve"> Rankkasateen aikaiselle vesimäärälle on osoitettava paikat ja järjestely, jossa vesi voi poikkeuksellisesti esim. lainehtia ja sateen aikana sekä sateen lakattua poistua hallitusti suunnitellulla tavalla ns. ylivirtaamana ylivuotoputken kautta. Maanpäällisistä altaista ja painanteista on esitettävä mitoitetut detaljipiirustukset muodostuvan tilavuuden varmistamiseksi.</w:t>
      </w:r>
    </w:p>
    <w:p w14:paraId="05E6F61E" w14:textId="77777777" w:rsidR="00B80923" w:rsidRPr="00B80923" w:rsidRDefault="00B80923" w:rsidP="00B80923">
      <w:pPr>
        <w:numPr>
          <w:ilvl w:val="0"/>
          <w:numId w:val="1"/>
        </w:numPr>
        <w:spacing w:after="117" w:line="311" w:lineRule="auto"/>
        <w:contextualSpacing/>
        <w:rPr>
          <w:rFonts w:eastAsia="Times New Roman" w:cstheme="minorHAnsi"/>
          <w:color w:val="000000"/>
          <w:sz w:val="20"/>
          <w:szCs w:val="20"/>
          <w:lang w:eastAsia="fi-FI"/>
        </w:rPr>
      </w:pPr>
      <w:r w:rsidRPr="00B80923">
        <w:rPr>
          <w:rFonts w:eastAsia="Times New Roman" w:cstheme="minorHAnsi"/>
          <w:color w:val="000000"/>
          <w:sz w:val="20"/>
          <w:szCs w:val="20"/>
          <w:lang w:eastAsia="fi-FI"/>
        </w:rPr>
        <w:t>Kolmantena tuloksena saadaan sallittu virtausnopeus ulos rakennuspaikalta hulevesiviemäriin.</w:t>
      </w:r>
    </w:p>
    <w:p w14:paraId="087C7EC5" w14:textId="77777777" w:rsidR="00B80923" w:rsidRPr="00B80923" w:rsidRDefault="00B80923" w:rsidP="00B80923">
      <w:pPr>
        <w:numPr>
          <w:ilvl w:val="0"/>
          <w:numId w:val="1"/>
        </w:numPr>
        <w:spacing w:after="117" w:line="311" w:lineRule="auto"/>
        <w:contextualSpacing/>
        <w:rPr>
          <w:rFonts w:eastAsia="Times New Roman" w:cstheme="minorHAnsi"/>
          <w:color w:val="000000"/>
          <w:sz w:val="20"/>
          <w:szCs w:val="20"/>
          <w:lang w:eastAsia="fi-FI"/>
        </w:rPr>
      </w:pPr>
      <w:r w:rsidRPr="00B80923">
        <w:rPr>
          <w:rFonts w:eastAsia="Times New Roman" w:cstheme="minorHAnsi"/>
          <w:color w:val="000000"/>
          <w:sz w:val="20"/>
          <w:szCs w:val="20"/>
          <w:lang w:eastAsia="fi-FI"/>
        </w:rPr>
        <w:t>Seuraavaksi syötetään tietoja rakennuspaikasta, kaavamääräyksistä ja suunnitellusta käsittelystä.</w:t>
      </w:r>
    </w:p>
    <w:p w14:paraId="2758F2E8" w14:textId="77777777" w:rsidR="00AE5151" w:rsidRPr="00AE5151" w:rsidRDefault="00B80923" w:rsidP="00856B7E">
      <w:pPr>
        <w:numPr>
          <w:ilvl w:val="0"/>
          <w:numId w:val="1"/>
        </w:numPr>
        <w:spacing w:after="117" w:line="311" w:lineRule="auto"/>
        <w:contextualSpacing/>
        <w:rPr>
          <w:rFonts w:eastAsia="Times New Roman" w:cstheme="minorHAnsi"/>
          <w:sz w:val="20"/>
          <w:szCs w:val="20"/>
          <w:lang w:eastAsia="fi-FI"/>
        </w:rPr>
      </w:pPr>
      <w:r w:rsidRPr="00AE5151">
        <w:rPr>
          <w:rFonts w:eastAsia="Times New Roman" w:cstheme="minorHAnsi"/>
          <w:color w:val="000000"/>
          <w:sz w:val="20"/>
          <w:szCs w:val="20"/>
          <w:lang w:eastAsia="fi-FI"/>
        </w:rPr>
        <w:t xml:space="preserve">Lopuksi annetaan tiedot, miten muodostuvien hulevesien tilavuus jaetaan tontilla maanalaisiin ja maanpäällisiin rakenteisiin. Laskelma tarkistaa, että kokonaistilavuus täyttää laskelman osoittaman kokonaistilavuuden. </w:t>
      </w:r>
      <w:r w:rsidRPr="00AE5151">
        <w:rPr>
          <w:rFonts w:eastAsia="Times New Roman" w:cstheme="minorHAnsi"/>
          <w:sz w:val="20"/>
          <w:szCs w:val="20"/>
          <w:lang w:eastAsia="fi-FI"/>
        </w:rPr>
        <w:t>Koskee koko kiinteistön pinta-alaa, erilliset valuma-alueet mukaan lukien</w:t>
      </w:r>
    </w:p>
    <w:p w14:paraId="533593F1" w14:textId="62AD245D" w:rsidR="00B80923" w:rsidRPr="00AE5151" w:rsidRDefault="00B80923" w:rsidP="00856B7E">
      <w:pPr>
        <w:numPr>
          <w:ilvl w:val="0"/>
          <w:numId w:val="1"/>
        </w:numPr>
        <w:spacing w:after="117" w:line="311" w:lineRule="auto"/>
        <w:contextualSpacing/>
        <w:rPr>
          <w:rFonts w:eastAsia="Times New Roman" w:cstheme="minorHAnsi"/>
          <w:color w:val="000000"/>
          <w:sz w:val="20"/>
          <w:szCs w:val="20"/>
          <w:lang w:eastAsia="fi-FI"/>
        </w:rPr>
      </w:pPr>
      <w:r w:rsidRPr="00AE5151">
        <w:rPr>
          <w:rFonts w:eastAsia="Times New Roman" w:cstheme="minorHAnsi"/>
          <w:color w:val="000000"/>
          <w:sz w:val="20"/>
          <w:szCs w:val="20"/>
          <w:lang w:eastAsia="fi-FI"/>
        </w:rPr>
        <w:t xml:space="preserve">Huom. 1: Viivytysrakenteet ja niiden tilavuudet tulee osoittaa ”puhtaille” hulevesille (esim. nurmipihat ja kattovedet) ja likaisille hulevesille (esim. liikennepihat) erikseen, ellei niitä johdeta samaan viivytysrakenteeseen. </w:t>
      </w:r>
    </w:p>
    <w:p w14:paraId="49796DD3" w14:textId="77777777" w:rsidR="00B80923" w:rsidRPr="00B80923" w:rsidRDefault="00B80923" w:rsidP="00B80923">
      <w:pPr>
        <w:spacing w:after="117" w:line="311" w:lineRule="auto"/>
        <w:rPr>
          <w:rFonts w:eastAsia="Times New Roman" w:cstheme="minorHAnsi"/>
          <w:color w:val="000000"/>
          <w:sz w:val="20"/>
          <w:szCs w:val="20"/>
          <w:lang w:eastAsia="fi-FI"/>
        </w:rPr>
      </w:pPr>
      <w:r w:rsidRPr="00B80923">
        <w:rPr>
          <w:rFonts w:eastAsia="Times New Roman" w:cstheme="minorHAnsi"/>
          <w:color w:val="000000"/>
          <w:sz w:val="20"/>
          <w:szCs w:val="20"/>
          <w:lang w:eastAsia="fi-FI"/>
        </w:rPr>
        <w:t>Huom. 2: Mikäli viivytystilavuus eikä hallittu ylivuoto hulevesijärjestelmään riitä, o</w:t>
      </w:r>
      <w:bookmarkStart w:id="0" w:name="_GoBack"/>
      <w:bookmarkEnd w:id="0"/>
      <w:r w:rsidRPr="00B80923">
        <w:rPr>
          <w:rFonts w:eastAsia="Times New Roman" w:cstheme="minorHAnsi"/>
          <w:color w:val="000000"/>
          <w:sz w:val="20"/>
          <w:szCs w:val="20"/>
          <w:lang w:eastAsia="fi-FI"/>
        </w:rPr>
        <w:t xml:space="preserve">n varauduttava siihen, että vesi tulvii esim. pysäköintipaikalla tai muulla tontin alavalla osalla. Tulvimisreitti yleensä kadulle. </w:t>
      </w:r>
    </w:p>
    <w:p w14:paraId="5277195C" w14:textId="77777777" w:rsidR="00B80923" w:rsidRPr="00B80923" w:rsidRDefault="00B80923" w:rsidP="00B80923">
      <w:pPr>
        <w:spacing w:after="117" w:line="311" w:lineRule="auto"/>
        <w:rPr>
          <w:rFonts w:eastAsia="Times New Roman" w:cstheme="minorHAnsi"/>
          <w:color w:val="000000"/>
          <w:sz w:val="20"/>
          <w:szCs w:val="20"/>
          <w:lang w:eastAsia="fi-FI"/>
        </w:rPr>
      </w:pPr>
      <w:r w:rsidRPr="00B80923">
        <w:rPr>
          <w:rFonts w:eastAsia="Times New Roman" w:cstheme="minorHAnsi"/>
          <w:color w:val="000000"/>
          <w:sz w:val="20"/>
          <w:szCs w:val="20"/>
          <w:lang w:eastAsia="fi-FI"/>
        </w:rPr>
        <w:t>Huom. 3: Kaivojen sakkapesien tilavuutta ei saa laskea viivytystilavuuteen. Putkisto voidaan huomioida ja joissain tapauksissa koko järjestelmä voi olla tarpeen tehdä ”ylikokoisista” putkista. Esim. liitoskorkeuden takia.</w:t>
      </w:r>
    </w:p>
    <w:p w14:paraId="3E14B2DE" w14:textId="77777777" w:rsidR="00B80923" w:rsidRPr="00B80923" w:rsidRDefault="00B80923" w:rsidP="00B80923">
      <w:pPr>
        <w:spacing w:after="117" w:line="311" w:lineRule="auto"/>
        <w:ind w:left="-5" w:hanging="10"/>
        <w:rPr>
          <w:rFonts w:eastAsia="Times New Roman" w:cstheme="minorHAnsi"/>
          <w:b/>
          <w:color w:val="000000"/>
          <w:sz w:val="20"/>
          <w:szCs w:val="20"/>
          <w:lang w:eastAsia="fi-FI"/>
        </w:rPr>
      </w:pPr>
      <w:r w:rsidRPr="00B80923">
        <w:rPr>
          <w:rFonts w:eastAsia="Times New Roman" w:cstheme="minorHAnsi"/>
          <w:b/>
          <w:color w:val="000000"/>
          <w:sz w:val="20"/>
          <w:szCs w:val="20"/>
          <w:lang w:eastAsia="fi-FI"/>
        </w:rPr>
        <w:t>Käytettävät valumakertoimet:</w:t>
      </w:r>
    </w:p>
    <w:tbl>
      <w:tblPr>
        <w:tblStyle w:val="TaulukkoRuudukko"/>
        <w:tblW w:w="5524" w:type="dxa"/>
        <w:tblLook w:val="04A0" w:firstRow="1" w:lastRow="0" w:firstColumn="1" w:lastColumn="0" w:noHBand="0" w:noVBand="1"/>
      </w:tblPr>
      <w:tblGrid>
        <w:gridCol w:w="3911"/>
        <w:gridCol w:w="1613"/>
      </w:tblGrid>
      <w:tr w:rsidR="00B80923" w:rsidRPr="00B80923" w14:paraId="524B9E4F" w14:textId="77777777" w:rsidTr="003376BB">
        <w:trPr>
          <w:trHeight w:val="20"/>
        </w:trPr>
        <w:tc>
          <w:tcPr>
            <w:tcW w:w="3911" w:type="dxa"/>
            <w:vAlign w:val="center"/>
          </w:tcPr>
          <w:p w14:paraId="3B1EBD53" w14:textId="77777777" w:rsidR="00B80923" w:rsidRPr="00B80923" w:rsidRDefault="00B80923" w:rsidP="00B80923">
            <w:pPr>
              <w:tabs>
                <w:tab w:val="center" w:pos="2608"/>
              </w:tabs>
              <w:rPr>
                <w:rFonts w:eastAsia="Times New Roman" w:cstheme="minorHAnsi"/>
                <w:b/>
                <w:color w:val="000000"/>
                <w:sz w:val="20"/>
                <w:szCs w:val="20"/>
              </w:rPr>
            </w:pPr>
            <w:r w:rsidRPr="00B80923">
              <w:rPr>
                <w:rFonts w:eastAsia="Times New Roman" w:cstheme="minorHAnsi"/>
                <w:b/>
                <w:color w:val="000000"/>
                <w:sz w:val="20"/>
                <w:szCs w:val="20"/>
              </w:rPr>
              <w:t xml:space="preserve">Pinnan tyyppi:   </w:t>
            </w:r>
            <w:r w:rsidRPr="00B80923">
              <w:rPr>
                <w:rFonts w:eastAsia="Times New Roman" w:cstheme="minorHAnsi"/>
                <w:b/>
                <w:color w:val="000000"/>
                <w:sz w:val="20"/>
                <w:szCs w:val="20"/>
              </w:rPr>
              <w:tab/>
              <w:t xml:space="preserve"> </w:t>
            </w:r>
          </w:p>
        </w:tc>
        <w:tc>
          <w:tcPr>
            <w:tcW w:w="1613" w:type="dxa"/>
            <w:vAlign w:val="center"/>
          </w:tcPr>
          <w:p w14:paraId="2551E85A" w14:textId="77777777" w:rsidR="00B80923" w:rsidRPr="00B80923" w:rsidRDefault="00B80923" w:rsidP="00B80923">
            <w:pPr>
              <w:rPr>
                <w:rFonts w:eastAsia="Times New Roman" w:cstheme="minorHAnsi"/>
                <w:b/>
                <w:color w:val="000000"/>
                <w:sz w:val="20"/>
                <w:szCs w:val="20"/>
              </w:rPr>
            </w:pPr>
            <w:r w:rsidRPr="00B80923">
              <w:rPr>
                <w:rFonts w:eastAsia="Times New Roman" w:cstheme="minorHAnsi"/>
                <w:b/>
                <w:color w:val="000000"/>
                <w:sz w:val="20"/>
                <w:szCs w:val="20"/>
              </w:rPr>
              <w:t xml:space="preserve">Valumakerroin C </w:t>
            </w:r>
          </w:p>
        </w:tc>
      </w:tr>
      <w:tr w:rsidR="00B80923" w:rsidRPr="00B80923" w14:paraId="12886BAC" w14:textId="77777777" w:rsidTr="003376BB">
        <w:trPr>
          <w:trHeight w:val="20"/>
        </w:trPr>
        <w:tc>
          <w:tcPr>
            <w:tcW w:w="3911" w:type="dxa"/>
            <w:vAlign w:val="center"/>
          </w:tcPr>
          <w:p w14:paraId="3A051FD4" w14:textId="77777777" w:rsidR="00B80923" w:rsidRPr="00B80923" w:rsidRDefault="00B80923" w:rsidP="00B80923">
            <w:pPr>
              <w:rPr>
                <w:rFonts w:eastAsia="Times New Roman" w:cstheme="minorHAnsi"/>
                <w:color w:val="000000"/>
                <w:sz w:val="20"/>
                <w:szCs w:val="20"/>
              </w:rPr>
            </w:pPr>
            <w:r w:rsidRPr="00B80923">
              <w:rPr>
                <w:rFonts w:eastAsia="Times New Roman" w:cstheme="minorHAnsi"/>
                <w:color w:val="000000"/>
                <w:sz w:val="20"/>
                <w:szCs w:val="20"/>
              </w:rPr>
              <w:t xml:space="preserve">Katto                                                          </w:t>
            </w:r>
          </w:p>
        </w:tc>
        <w:tc>
          <w:tcPr>
            <w:tcW w:w="1613" w:type="dxa"/>
            <w:vAlign w:val="center"/>
          </w:tcPr>
          <w:p w14:paraId="71A2EDC4" w14:textId="77777777" w:rsidR="00B80923" w:rsidRPr="00B80923" w:rsidRDefault="00B80923" w:rsidP="00B80923">
            <w:pPr>
              <w:ind w:left="1"/>
              <w:jc w:val="center"/>
              <w:rPr>
                <w:rFonts w:eastAsia="Times New Roman" w:cstheme="minorHAnsi"/>
                <w:color w:val="000000"/>
                <w:sz w:val="20"/>
                <w:szCs w:val="20"/>
              </w:rPr>
            </w:pPr>
            <w:r w:rsidRPr="00B80923">
              <w:rPr>
                <w:rFonts w:eastAsia="Times New Roman" w:cstheme="minorHAnsi"/>
                <w:color w:val="000000"/>
                <w:sz w:val="20"/>
                <w:szCs w:val="20"/>
              </w:rPr>
              <w:t>0,9</w:t>
            </w:r>
          </w:p>
        </w:tc>
      </w:tr>
      <w:tr w:rsidR="00B80923" w:rsidRPr="00B80923" w14:paraId="2C39FD0E" w14:textId="77777777" w:rsidTr="003376BB">
        <w:trPr>
          <w:trHeight w:val="20"/>
        </w:trPr>
        <w:tc>
          <w:tcPr>
            <w:tcW w:w="3911" w:type="dxa"/>
            <w:vAlign w:val="center"/>
          </w:tcPr>
          <w:p w14:paraId="16975584" w14:textId="77777777" w:rsidR="00B80923" w:rsidRPr="00B80923" w:rsidRDefault="00B80923" w:rsidP="00B80923">
            <w:pPr>
              <w:tabs>
                <w:tab w:val="center" w:pos="1303"/>
                <w:tab w:val="center" w:pos="2608"/>
              </w:tabs>
              <w:rPr>
                <w:rFonts w:eastAsia="Times New Roman" w:cstheme="minorHAnsi"/>
                <w:color w:val="000000"/>
                <w:sz w:val="20"/>
                <w:szCs w:val="20"/>
              </w:rPr>
            </w:pPr>
            <w:r w:rsidRPr="00B80923">
              <w:rPr>
                <w:rFonts w:eastAsia="Times New Roman" w:cstheme="minorHAnsi"/>
                <w:color w:val="000000"/>
                <w:sz w:val="20"/>
                <w:szCs w:val="20"/>
              </w:rPr>
              <w:t xml:space="preserve">Asfaltti </w:t>
            </w:r>
            <w:r w:rsidRPr="00B80923">
              <w:rPr>
                <w:rFonts w:eastAsia="Times New Roman" w:cstheme="minorHAnsi"/>
                <w:color w:val="000000"/>
                <w:sz w:val="20"/>
                <w:szCs w:val="20"/>
              </w:rPr>
              <w:tab/>
              <w:t xml:space="preserve"> </w:t>
            </w:r>
            <w:r w:rsidRPr="00B80923">
              <w:rPr>
                <w:rFonts w:eastAsia="Times New Roman" w:cstheme="minorHAnsi"/>
                <w:color w:val="000000"/>
                <w:sz w:val="20"/>
                <w:szCs w:val="20"/>
              </w:rPr>
              <w:tab/>
              <w:t xml:space="preserve"> </w:t>
            </w:r>
          </w:p>
        </w:tc>
        <w:tc>
          <w:tcPr>
            <w:tcW w:w="1613" w:type="dxa"/>
            <w:vAlign w:val="center"/>
          </w:tcPr>
          <w:p w14:paraId="46B86CFD" w14:textId="77777777" w:rsidR="00B80923" w:rsidRPr="00B80923" w:rsidRDefault="00B80923" w:rsidP="00B80923">
            <w:pPr>
              <w:jc w:val="center"/>
              <w:rPr>
                <w:rFonts w:eastAsia="Times New Roman" w:cstheme="minorHAnsi"/>
                <w:color w:val="000000"/>
                <w:sz w:val="20"/>
                <w:szCs w:val="20"/>
              </w:rPr>
            </w:pPr>
            <w:r w:rsidRPr="00B80923">
              <w:rPr>
                <w:rFonts w:eastAsia="Times New Roman" w:cstheme="minorHAnsi"/>
                <w:color w:val="000000"/>
                <w:sz w:val="20"/>
                <w:szCs w:val="20"/>
              </w:rPr>
              <w:t>0.9</w:t>
            </w:r>
          </w:p>
        </w:tc>
      </w:tr>
      <w:tr w:rsidR="00B80923" w:rsidRPr="00B80923" w14:paraId="57A1F30D" w14:textId="77777777" w:rsidTr="003376BB">
        <w:trPr>
          <w:trHeight w:val="20"/>
        </w:trPr>
        <w:tc>
          <w:tcPr>
            <w:tcW w:w="3911" w:type="dxa"/>
            <w:vAlign w:val="center"/>
          </w:tcPr>
          <w:p w14:paraId="47ADBF14" w14:textId="77777777" w:rsidR="00B80923" w:rsidRPr="00B80923" w:rsidRDefault="00B80923" w:rsidP="00B80923">
            <w:pPr>
              <w:tabs>
                <w:tab w:val="center" w:pos="1303"/>
                <w:tab w:val="center" w:pos="2608"/>
              </w:tabs>
              <w:rPr>
                <w:rFonts w:eastAsia="Times New Roman" w:cstheme="minorHAnsi"/>
                <w:color w:val="000000"/>
                <w:sz w:val="20"/>
                <w:szCs w:val="20"/>
              </w:rPr>
            </w:pPr>
            <w:r w:rsidRPr="00B80923">
              <w:rPr>
                <w:rFonts w:eastAsia="Times New Roman" w:cstheme="minorHAnsi"/>
                <w:color w:val="000000"/>
                <w:sz w:val="20"/>
                <w:szCs w:val="20"/>
              </w:rPr>
              <w:t xml:space="preserve">Betoni </w:t>
            </w:r>
            <w:r w:rsidRPr="00B80923">
              <w:rPr>
                <w:rFonts w:eastAsia="Times New Roman" w:cstheme="minorHAnsi"/>
                <w:color w:val="000000"/>
                <w:sz w:val="20"/>
                <w:szCs w:val="20"/>
              </w:rPr>
              <w:tab/>
              <w:t xml:space="preserve"> </w:t>
            </w:r>
            <w:r w:rsidRPr="00B80923">
              <w:rPr>
                <w:rFonts w:eastAsia="Times New Roman" w:cstheme="minorHAnsi"/>
                <w:color w:val="000000"/>
                <w:sz w:val="20"/>
                <w:szCs w:val="20"/>
              </w:rPr>
              <w:tab/>
              <w:t xml:space="preserve"> </w:t>
            </w:r>
          </w:p>
        </w:tc>
        <w:tc>
          <w:tcPr>
            <w:tcW w:w="1613" w:type="dxa"/>
            <w:vAlign w:val="center"/>
          </w:tcPr>
          <w:p w14:paraId="6F88368F" w14:textId="77777777" w:rsidR="00B80923" w:rsidRPr="00B80923" w:rsidRDefault="00B80923" w:rsidP="00B80923">
            <w:pPr>
              <w:jc w:val="center"/>
              <w:rPr>
                <w:rFonts w:eastAsia="Times New Roman" w:cstheme="minorHAnsi"/>
                <w:color w:val="000000"/>
                <w:sz w:val="20"/>
                <w:szCs w:val="20"/>
              </w:rPr>
            </w:pPr>
            <w:r w:rsidRPr="00B80923">
              <w:rPr>
                <w:rFonts w:eastAsia="Times New Roman" w:cstheme="minorHAnsi"/>
                <w:color w:val="000000"/>
                <w:sz w:val="20"/>
                <w:szCs w:val="20"/>
              </w:rPr>
              <w:t>0.9</w:t>
            </w:r>
          </w:p>
        </w:tc>
      </w:tr>
      <w:tr w:rsidR="00B80923" w:rsidRPr="00B80923" w14:paraId="2D1DFC96" w14:textId="77777777" w:rsidTr="003376BB">
        <w:trPr>
          <w:trHeight w:val="20"/>
        </w:trPr>
        <w:tc>
          <w:tcPr>
            <w:tcW w:w="3911" w:type="dxa"/>
            <w:vAlign w:val="center"/>
          </w:tcPr>
          <w:p w14:paraId="7AF61129" w14:textId="77777777" w:rsidR="00B80923" w:rsidRPr="00B80923" w:rsidRDefault="00B80923" w:rsidP="00B80923">
            <w:pPr>
              <w:tabs>
                <w:tab w:val="center" w:pos="2609"/>
              </w:tabs>
              <w:rPr>
                <w:rFonts w:eastAsia="Times New Roman" w:cstheme="minorHAnsi"/>
                <w:color w:val="000000"/>
                <w:sz w:val="20"/>
                <w:szCs w:val="20"/>
              </w:rPr>
            </w:pPr>
            <w:r w:rsidRPr="00B80923">
              <w:rPr>
                <w:rFonts w:eastAsia="Times New Roman" w:cstheme="minorHAnsi"/>
                <w:color w:val="000000"/>
                <w:sz w:val="20"/>
                <w:szCs w:val="20"/>
              </w:rPr>
              <w:t xml:space="preserve">Pihakivetys /-laatoitus </w:t>
            </w:r>
            <w:r w:rsidRPr="00B80923">
              <w:rPr>
                <w:rFonts w:eastAsia="Times New Roman" w:cstheme="minorHAnsi"/>
                <w:color w:val="000000"/>
                <w:sz w:val="20"/>
                <w:szCs w:val="20"/>
              </w:rPr>
              <w:tab/>
              <w:t xml:space="preserve"> </w:t>
            </w:r>
          </w:p>
        </w:tc>
        <w:tc>
          <w:tcPr>
            <w:tcW w:w="1613" w:type="dxa"/>
            <w:vAlign w:val="center"/>
          </w:tcPr>
          <w:p w14:paraId="4CFD511F" w14:textId="77777777" w:rsidR="00B80923" w:rsidRPr="00B80923" w:rsidRDefault="00B80923" w:rsidP="00B80923">
            <w:pPr>
              <w:ind w:left="1"/>
              <w:jc w:val="center"/>
              <w:rPr>
                <w:rFonts w:eastAsia="Times New Roman" w:cstheme="minorHAnsi"/>
                <w:color w:val="000000"/>
                <w:sz w:val="20"/>
                <w:szCs w:val="20"/>
              </w:rPr>
            </w:pPr>
            <w:r w:rsidRPr="00B80923">
              <w:rPr>
                <w:rFonts w:eastAsia="Times New Roman" w:cstheme="minorHAnsi"/>
                <w:color w:val="000000"/>
                <w:sz w:val="20"/>
                <w:szCs w:val="20"/>
              </w:rPr>
              <w:t>0.8</w:t>
            </w:r>
          </w:p>
        </w:tc>
      </w:tr>
      <w:tr w:rsidR="00B80923" w:rsidRPr="00B80923" w14:paraId="3F3A14CB" w14:textId="77777777" w:rsidTr="003376BB">
        <w:trPr>
          <w:trHeight w:val="20"/>
        </w:trPr>
        <w:tc>
          <w:tcPr>
            <w:tcW w:w="3911" w:type="dxa"/>
            <w:vAlign w:val="center"/>
          </w:tcPr>
          <w:p w14:paraId="726FD6AA" w14:textId="77777777" w:rsidR="00B80923" w:rsidRPr="00B80923" w:rsidRDefault="00B80923" w:rsidP="00B80923">
            <w:pPr>
              <w:tabs>
                <w:tab w:val="center" w:pos="2609"/>
              </w:tabs>
              <w:rPr>
                <w:rFonts w:eastAsia="Times New Roman" w:cstheme="minorHAnsi"/>
                <w:color w:val="000000"/>
                <w:sz w:val="20"/>
                <w:szCs w:val="20"/>
              </w:rPr>
            </w:pPr>
            <w:r w:rsidRPr="00B80923">
              <w:rPr>
                <w:rFonts w:eastAsia="Times New Roman" w:cstheme="minorHAnsi"/>
                <w:color w:val="000000"/>
                <w:sz w:val="20"/>
                <w:szCs w:val="20"/>
              </w:rPr>
              <w:t xml:space="preserve">Nurmikivi / </w:t>
            </w:r>
            <w:proofErr w:type="spellStart"/>
            <w:r w:rsidRPr="00B80923">
              <w:rPr>
                <w:rFonts w:eastAsia="Times New Roman" w:cstheme="minorHAnsi"/>
                <w:color w:val="000000"/>
                <w:sz w:val="20"/>
                <w:szCs w:val="20"/>
              </w:rPr>
              <w:t>hulekivi</w:t>
            </w:r>
            <w:proofErr w:type="spellEnd"/>
            <w:r w:rsidRPr="00B80923">
              <w:rPr>
                <w:rFonts w:eastAsia="Times New Roman" w:cstheme="minorHAnsi"/>
                <w:color w:val="000000"/>
                <w:sz w:val="20"/>
                <w:szCs w:val="20"/>
              </w:rPr>
              <w:t xml:space="preserve"> </w:t>
            </w:r>
            <w:r w:rsidRPr="00B80923">
              <w:rPr>
                <w:rFonts w:eastAsia="Times New Roman" w:cstheme="minorHAnsi"/>
                <w:color w:val="000000"/>
                <w:sz w:val="20"/>
                <w:szCs w:val="20"/>
              </w:rPr>
              <w:tab/>
              <w:t xml:space="preserve"> </w:t>
            </w:r>
          </w:p>
        </w:tc>
        <w:tc>
          <w:tcPr>
            <w:tcW w:w="1613" w:type="dxa"/>
            <w:vAlign w:val="center"/>
          </w:tcPr>
          <w:p w14:paraId="478B1F3C" w14:textId="77777777" w:rsidR="00B80923" w:rsidRPr="00B80923" w:rsidRDefault="00B80923" w:rsidP="00B80923">
            <w:pPr>
              <w:ind w:left="1"/>
              <w:jc w:val="center"/>
              <w:rPr>
                <w:rFonts w:eastAsia="Times New Roman" w:cstheme="minorHAnsi"/>
                <w:color w:val="000000"/>
                <w:sz w:val="20"/>
                <w:szCs w:val="20"/>
              </w:rPr>
            </w:pPr>
            <w:r w:rsidRPr="00B80923">
              <w:rPr>
                <w:rFonts w:eastAsia="Times New Roman" w:cstheme="minorHAnsi"/>
                <w:color w:val="000000"/>
                <w:sz w:val="20"/>
                <w:szCs w:val="20"/>
              </w:rPr>
              <w:t>0.5</w:t>
            </w:r>
          </w:p>
        </w:tc>
      </w:tr>
      <w:tr w:rsidR="00B80923" w:rsidRPr="00B80923" w14:paraId="0E37A8F9" w14:textId="77777777" w:rsidTr="003376BB">
        <w:trPr>
          <w:trHeight w:val="20"/>
        </w:trPr>
        <w:tc>
          <w:tcPr>
            <w:tcW w:w="3911" w:type="dxa"/>
            <w:vAlign w:val="center"/>
          </w:tcPr>
          <w:p w14:paraId="323C7AFA" w14:textId="77777777" w:rsidR="00B80923" w:rsidRPr="00B80923" w:rsidRDefault="00B80923" w:rsidP="00B80923">
            <w:pPr>
              <w:tabs>
                <w:tab w:val="center" w:pos="1304"/>
                <w:tab w:val="center" w:pos="2609"/>
              </w:tabs>
              <w:rPr>
                <w:rFonts w:eastAsia="Times New Roman" w:cstheme="minorHAnsi"/>
                <w:color w:val="000000"/>
                <w:sz w:val="20"/>
                <w:szCs w:val="20"/>
              </w:rPr>
            </w:pPr>
            <w:r w:rsidRPr="00B80923">
              <w:rPr>
                <w:rFonts w:eastAsia="Times New Roman" w:cstheme="minorHAnsi"/>
                <w:color w:val="000000"/>
                <w:sz w:val="20"/>
                <w:szCs w:val="20"/>
              </w:rPr>
              <w:t xml:space="preserve">Sora </w:t>
            </w:r>
            <w:r w:rsidRPr="00B80923">
              <w:rPr>
                <w:rFonts w:eastAsia="Times New Roman" w:cstheme="minorHAnsi"/>
                <w:color w:val="000000"/>
                <w:sz w:val="20"/>
                <w:szCs w:val="20"/>
              </w:rPr>
              <w:tab/>
              <w:t xml:space="preserve"> </w:t>
            </w:r>
            <w:r w:rsidRPr="00B80923">
              <w:rPr>
                <w:rFonts w:eastAsia="Times New Roman" w:cstheme="minorHAnsi"/>
                <w:color w:val="000000"/>
                <w:sz w:val="20"/>
                <w:szCs w:val="20"/>
              </w:rPr>
              <w:tab/>
              <w:t xml:space="preserve"> </w:t>
            </w:r>
          </w:p>
        </w:tc>
        <w:tc>
          <w:tcPr>
            <w:tcW w:w="1613" w:type="dxa"/>
            <w:vAlign w:val="center"/>
          </w:tcPr>
          <w:p w14:paraId="55468A62" w14:textId="77777777" w:rsidR="00B80923" w:rsidRPr="00B80923" w:rsidRDefault="00B80923" w:rsidP="00B80923">
            <w:pPr>
              <w:ind w:left="1"/>
              <w:jc w:val="center"/>
              <w:rPr>
                <w:rFonts w:eastAsia="Times New Roman" w:cstheme="minorHAnsi"/>
                <w:color w:val="000000"/>
                <w:sz w:val="20"/>
                <w:szCs w:val="20"/>
              </w:rPr>
            </w:pPr>
            <w:r w:rsidRPr="00B80923">
              <w:rPr>
                <w:rFonts w:eastAsia="Times New Roman" w:cstheme="minorHAnsi"/>
                <w:color w:val="000000"/>
                <w:sz w:val="20"/>
                <w:szCs w:val="20"/>
              </w:rPr>
              <w:t>0.3</w:t>
            </w:r>
          </w:p>
        </w:tc>
      </w:tr>
      <w:tr w:rsidR="00B80923" w:rsidRPr="00B80923" w14:paraId="4880861E" w14:textId="77777777" w:rsidTr="003376BB">
        <w:trPr>
          <w:trHeight w:val="20"/>
        </w:trPr>
        <w:tc>
          <w:tcPr>
            <w:tcW w:w="3911" w:type="dxa"/>
            <w:vAlign w:val="center"/>
          </w:tcPr>
          <w:p w14:paraId="085A03FE" w14:textId="77777777" w:rsidR="00B80923" w:rsidRPr="00B80923" w:rsidRDefault="00B80923" w:rsidP="00B80923">
            <w:pPr>
              <w:tabs>
                <w:tab w:val="center" w:pos="1303"/>
                <w:tab w:val="center" w:pos="2608"/>
              </w:tabs>
              <w:rPr>
                <w:rFonts w:eastAsia="Times New Roman" w:cstheme="minorHAnsi"/>
                <w:color w:val="000000"/>
                <w:sz w:val="20"/>
                <w:szCs w:val="20"/>
              </w:rPr>
            </w:pPr>
            <w:r w:rsidRPr="00B80923">
              <w:rPr>
                <w:rFonts w:eastAsia="Times New Roman" w:cstheme="minorHAnsi"/>
                <w:color w:val="000000"/>
                <w:sz w:val="20"/>
                <w:szCs w:val="20"/>
              </w:rPr>
              <w:t xml:space="preserve">Kivituhka </w:t>
            </w:r>
            <w:r w:rsidRPr="00B80923">
              <w:rPr>
                <w:rFonts w:eastAsia="Times New Roman" w:cstheme="minorHAnsi"/>
                <w:color w:val="000000"/>
                <w:sz w:val="20"/>
                <w:szCs w:val="20"/>
              </w:rPr>
              <w:tab/>
              <w:t xml:space="preserve"> </w:t>
            </w:r>
            <w:r w:rsidRPr="00B80923">
              <w:rPr>
                <w:rFonts w:eastAsia="Times New Roman" w:cstheme="minorHAnsi"/>
                <w:color w:val="000000"/>
                <w:sz w:val="20"/>
                <w:szCs w:val="20"/>
              </w:rPr>
              <w:tab/>
              <w:t xml:space="preserve"> </w:t>
            </w:r>
          </w:p>
        </w:tc>
        <w:tc>
          <w:tcPr>
            <w:tcW w:w="1613" w:type="dxa"/>
            <w:vAlign w:val="center"/>
          </w:tcPr>
          <w:p w14:paraId="0057EF35" w14:textId="77777777" w:rsidR="00B80923" w:rsidRPr="00B80923" w:rsidRDefault="00B80923" w:rsidP="00B80923">
            <w:pPr>
              <w:jc w:val="center"/>
              <w:rPr>
                <w:rFonts w:eastAsia="Times New Roman" w:cstheme="minorHAnsi"/>
                <w:color w:val="000000"/>
                <w:sz w:val="20"/>
                <w:szCs w:val="20"/>
              </w:rPr>
            </w:pPr>
            <w:r w:rsidRPr="00B80923">
              <w:rPr>
                <w:rFonts w:eastAsia="Times New Roman" w:cstheme="minorHAnsi"/>
                <w:color w:val="000000"/>
                <w:sz w:val="20"/>
                <w:szCs w:val="20"/>
              </w:rPr>
              <w:t>0.5</w:t>
            </w:r>
          </w:p>
        </w:tc>
      </w:tr>
      <w:tr w:rsidR="00B80923" w:rsidRPr="00B80923" w14:paraId="0CBEB85B" w14:textId="77777777" w:rsidTr="003376BB">
        <w:trPr>
          <w:trHeight w:val="20"/>
        </w:trPr>
        <w:tc>
          <w:tcPr>
            <w:tcW w:w="3911" w:type="dxa"/>
            <w:vAlign w:val="center"/>
          </w:tcPr>
          <w:p w14:paraId="05A5F9C8" w14:textId="77777777" w:rsidR="00B80923" w:rsidRPr="00B80923" w:rsidRDefault="00B80923" w:rsidP="00B80923">
            <w:pPr>
              <w:tabs>
                <w:tab w:val="center" w:pos="1304"/>
                <w:tab w:val="center" w:pos="2609"/>
              </w:tabs>
              <w:rPr>
                <w:rFonts w:eastAsia="Times New Roman" w:cstheme="minorHAnsi"/>
                <w:color w:val="000000"/>
                <w:sz w:val="20"/>
                <w:szCs w:val="20"/>
              </w:rPr>
            </w:pPr>
            <w:r w:rsidRPr="00B80923">
              <w:rPr>
                <w:rFonts w:eastAsia="Times New Roman" w:cstheme="minorHAnsi"/>
                <w:color w:val="000000"/>
                <w:sz w:val="20"/>
                <w:szCs w:val="20"/>
              </w:rPr>
              <w:lastRenderedPageBreak/>
              <w:t xml:space="preserve">Puuterassit </w:t>
            </w:r>
            <w:r w:rsidRPr="00B80923">
              <w:rPr>
                <w:rFonts w:eastAsia="Times New Roman" w:cstheme="minorHAnsi"/>
                <w:color w:val="000000"/>
                <w:sz w:val="20"/>
                <w:szCs w:val="20"/>
              </w:rPr>
              <w:tab/>
              <w:t xml:space="preserve"> </w:t>
            </w:r>
            <w:r w:rsidRPr="00B80923">
              <w:rPr>
                <w:rFonts w:eastAsia="Times New Roman" w:cstheme="minorHAnsi"/>
                <w:color w:val="000000"/>
                <w:sz w:val="20"/>
                <w:szCs w:val="20"/>
              </w:rPr>
              <w:tab/>
              <w:t xml:space="preserve"> </w:t>
            </w:r>
          </w:p>
        </w:tc>
        <w:tc>
          <w:tcPr>
            <w:tcW w:w="1613" w:type="dxa"/>
            <w:vAlign w:val="center"/>
          </w:tcPr>
          <w:p w14:paraId="4B6C1717" w14:textId="77777777" w:rsidR="00B80923" w:rsidRPr="00B80923" w:rsidRDefault="00B80923" w:rsidP="00B80923">
            <w:pPr>
              <w:ind w:left="1"/>
              <w:jc w:val="center"/>
              <w:rPr>
                <w:rFonts w:eastAsia="Times New Roman" w:cstheme="minorHAnsi"/>
                <w:color w:val="000000"/>
                <w:sz w:val="20"/>
                <w:szCs w:val="20"/>
              </w:rPr>
            </w:pPr>
            <w:r w:rsidRPr="00B80923">
              <w:rPr>
                <w:rFonts w:eastAsia="Times New Roman" w:cstheme="minorHAnsi"/>
                <w:color w:val="000000"/>
                <w:sz w:val="20"/>
                <w:szCs w:val="20"/>
              </w:rPr>
              <w:t>0.3</w:t>
            </w:r>
          </w:p>
        </w:tc>
      </w:tr>
      <w:tr w:rsidR="00B80923" w:rsidRPr="00B80923" w14:paraId="21FF4E03" w14:textId="77777777" w:rsidTr="003376BB">
        <w:trPr>
          <w:trHeight w:val="20"/>
        </w:trPr>
        <w:tc>
          <w:tcPr>
            <w:tcW w:w="3911" w:type="dxa"/>
            <w:vAlign w:val="center"/>
          </w:tcPr>
          <w:p w14:paraId="0BB33D39" w14:textId="77777777" w:rsidR="00B80923" w:rsidRPr="00B80923" w:rsidRDefault="00B80923" w:rsidP="00B80923">
            <w:pPr>
              <w:rPr>
                <w:rFonts w:eastAsia="Times New Roman" w:cstheme="minorHAnsi"/>
                <w:color w:val="000000"/>
                <w:sz w:val="20"/>
                <w:szCs w:val="20"/>
              </w:rPr>
            </w:pPr>
            <w:r w:rsidRPr="00B80923">
              <w:rPr>
                <w:rFonts w:eastAsia="Times New Roman" w:cstheme="minorHAnsi"/>
                <w:color w:val="000000"/>
                <w:sz w:val="20"/>
                <w:szCs w:val="20"/>
              </w:rPr>
              <w:t xml:space="preserve">Nurmetettu luiska /pengerrys  </w:t>
            </w:r>
          </w:p>
        </w:tc>
        <w:tc>
          <w:tcPr>
            <w:tcW w:w="1613" w:type="dxa"/>
            <w:vAlign w:val="center"/>
          </w:tcPr>
          <w:p w14:paraId="76407617" w14:textId="77777777" w:rsidR="00B80923" w:rsidRPr="00B80923" w:rsidRDefault="00B80923" w:rsidP="00B80923">
            <w:pPr>
              <w:ind w:left="1"/>
              <w:jc w:val="center"/>
              <w:rPr>
                <w:rFonts w:eastAsia="Times New Roman" w:cstheme="minorHAnsi"/>
                <w:color w:val="000000"/>
                <w:sz w:val="20"/>
                <w:szCs w:val="20"/>
              </w:rPr>
            </w:pPr>
            <w:r w:rsidRPr="00B80923">
              <w:rPr>
                <w:rFonts w:eastAsia="Times New Roman" w:cstheme="minorHAnsi"/>
                <w:color w:val="000000"/>
                <w:sz w:val="20"/>
                <w:szCs w:val="20"/>
              </w:rPr>
              <w:t>0.5</w:t>
            </w:r>
          </w:p>
        </w:tc>
      </w:tr>
      <w:tr w:rsidR="00B80923" w:rsidRPr="00B80923" w14:paraId="0F1A4965" w14:textId="77777777" w:rsidTr="003376BB">
        <w:trPr>
          <w:trHeight w:val="20"/>
        </w:trPr>
        <w:tc>
          <w:tcPr>
            <w:tcW w:w="3911" w:type="dxa"/>
            <w:vAlign w:val="center"/>
          </w:tcPr>
          <w:p w14:paraId="5A609417" w14:textId="77777777" w:rsidR="00B80923" w:rsidRPr="00B80923" w:rsidRDefault="00B80923" w:rsidP="00B80923">
            <w:pPr>
              <w:tabs>
                <w:tab w:val="center" w:pos="1303"/>
                <w:tab w:val="center" w:pos="2608"/>
              </w:tabs>
              <w:rPr>
                <w:rFonts w:eastAsia="Times New Roman" w:cstheme="minorHAnsi"/>
                <w:color w:val="000000"/>
                <w:sz w:val="20"/>
                <w:szCs w:val="20"/>
              </w:rPr>
            </w:pPr>
            <w:r w:rsidRPr="00B80923">
              <w:rPr>
                <w:rFonts w:eastAsia="Times New Roman" w:cstheme="minorHAnsi"/>
                <w:color w:val="000000"/>
                <w:sz w:val="20"/>
                <w:szCs w:val="20"/>
              </w:rPr>
              <w:t xml:space="preserve">Paljas kallio </w:t>
            </w:r>
            <w:r w:rsidRPr="00B80923">
              <w:rPr>
                <w:rFonts w:eastAsia="Times New Roman" w:cstheme="minorHAnsi"/>
                <w:color w:val="000000"/>
                <w:sz w:val="20"/>
                <w:szCs w:val="20"/>
              </w:rPr>
              <w:tab/>
              <w:t xml:space="preserve"> </w:t>
            </w:r>
            <w:r w:rsidRPr="00B80923">
              <w:rPr>
                <w:rFonts w:eastAsia="Times New Roman" w:cstheme="minorHAnsi"/>
                <w:color w:val="000000"/>
                <w:sz w:val="20"/>
                <w:szCs w:val="20"/>
              </w:rPr>
              <w:tab/>
              <w:t xml:space="preserve"> </w:t>
            </w:r>
          </w:p>
        </w:tc>
        <w:tc>
          <w:tcPr>
            <w:tcW w:w="1613" w:type="dxa"/>
            <w:vAlign w:val="center"/>
          </w:tcPr>
          <w:p w14:paraId="461E2FBD" w14:textId="77777777" w:rsidR="00B80923" w:rsidRPr="00B80923" w:rsidRDefault="00B80923" w:rsidP="00B80923">
            <w:pPr>
              <w:jc w:val="center"/>
              <w:rPr>
                <w:rFonts w:eastAsia="Times New Roman" w:cstheme="minorHAnsi"/>
                <w:color w:val="000000"/>
                <w:sz w:val="20"/>
                <w:szCs w:val="20"/>
              </w:rPr>
            </w:pPr>
            <w:r w:rsidRPr="00B80923">
              <w:rPr>
                <w:rFonts w:eastAsia="Times New Roman" w:cstheme="minorHAnsi"/>
                <w:color w:val="000000"/>
                <w:sz w:val="20"/>
                <w:szCs w:val="20"/>
              </w:rPr>
              <w:t>0.9</w:t>
            </w:r>
          </w:p>
        </w:tc>
      </w:tr>
      <w:tr w:rsidR="00B80923" w:rsidRPr="00B80923" w14:paraId="2D25D3F1" w14:textId="77777777" w:rsidTr="003376BB">
        <w:trPr>
          <w:trHeight w:val="20"/>
        </w:trPr>
        <w:tc>
          <w:tcPr>
            <w:tcW w:w="3911" w:type="dxa"/>
            <w:vAlign w:val="center"/>
          </w:tcPr>
          <w:p w14:paraId="7E7E5219" w14:textId="77777777" w:rsidR="00B80923" w:rsidRPr="00B80923" w:rsidRDefault="00B80923" w:rsidP="00B80923">
            <w:pPr>
              <w:rPr>
                <w:rFonts w:eastAsia="Times New Roman" w:cstheme="minorHAnsi"/>
                <w:color w:val="000000"/>
                <w:sz w:val="20"/>
                <w:szCs w:val="20"/>
              </w:rPr>
            </w:pPr>
            <w:r w:rsidRPr="00B80923">
              <w:rPr>
                <w:rFonts w:eastAsia="Times New Roman" w:cstheme="minorHAnsi"/>
                <w:color w:val="000000"/>
                <w:sz w:val="20"/>
                <w:szCs w:val="20"/>
              </w:rPr>
              <w:t xml:space="preserve">Nurmipiha ja pienet istutukset  </w:t>
            </w:r>
          </w:p>
        </w:tc>
        <w:tc>
          <w:tcPr>
            <w:tcW w:w="1613" w:type="dxa"/>
            <w:vAlign w:val="center"/>
          </w:tcPr>
          <w:p w14:paraId="4F2081F1" w14:textId="77777777" w:rsidR="00B80923" w:rsidRPr="00B80923" w:rsidRDefault="00B80923" w:rsidP="00B80923">
            <w:pPr>
              <w:ind w:left="1"/>
              <w:jc w:val="center"/>
              <w:rPr>
                <w:rFonts w:eastAsia="Times New Roman" w:cstheme="minorHAnsi"/>
                <w:color w:val="000000"/>
                <w:sz w:val="20"/>
                <w:szCs w:val="20"/>
              </w:rPr>
            </w:pPr>
            <w:r w:rsidRPr="00B80923">
              <w:rPr>
                <w:rFonts w:eastAsia="Times New Roman" w:cstheme="minorHAnsi"/>
                <w:color w:val="000000"/>
                <w:sz w:val="20"/>
                <w:szCs w:val="20"/>
              </w:rPr>
              <w:t>0.3</w:t>
            </w:r>
          </w:p>
        </w:tc>
      </w:tr>
      <w:tr w:rsidR="00B80923" w:rsidRPr="00B80923" w14:paraId="707AA056" w14:textId="77777777" w:rsidTr="003376BB">
        <w:trPr>
          <w:trHeight w:val="20"/>
        </w:trPr>
        <w:tc>
          <w:tcPr>
            <w:tcW w:w="3911" w:type="dxa"/>
            <w:vAlign w:val="center"/>
          </w:tcPr>
          <w:p w14:paraId="1F4092C7" w14:textId="77777777" w:rsidR="00B80923" w:rsidRPr="00B80923" w:rsidRDefault="00B80923" w:rsidP="00B80923">
            <w:pPr>
              <w:tabs>
                <w:tab w:val="center" w:pos="1304"/>
                <w:tab w:val="center" w:pos="2609"/>
              </w:tabs>
              <w:rPr>
                <w:rFonts w:eastAsia="Times New Roman" w:cstheme="minorHAnsi"/>
                <w:color w:val="000000"/>
                <w:sz w:val="20"/>
                <w:szCs w:val="20"/>
              </w:rPr>
            </w:pPr>
            <w:r w:rsidRPr="00B80923">
              <w:rPr>
                <w:rFonts w:eastAsia="Times New Roman" w:cstheme="minorHAnsi"/>
                <w:color w:val="000000"/>
                <w:sz w:val="20"/>
                <w:szCs w:val="20"/>
              </w:rPr>
              <w:t xml:space="preserve">Metsä </w:t>
            </w:r>
            <w:r w:rsidRPr="00B80923">
              <w:rPr>
                <w:rFonts w:eastAsia="Times New Roman" w:cstheme="minorHAnsi"/>
                <w:color w:val="000000"/>
                <w:sz w:val="20"/>
                <w:szCs w:val="20"/>
              </w:rPr>
              <w:tab/>
              <w:t xml:space="preserve"> </w:t>
            </w:r>
            <w:r w:rsidRPr="00B80923">
              <w:rPr>
                <w:rFonts w:eastAsia="Times New Roman" w:cstheme="minorHAnsi"/>
                <w:color w:val="000000"/>
                <w:sz w:val="20"/>
                <w:szCs w:val="20"/>
              </w:rPr>
              <w:tab/>
              <w:t xml:space="preserve"> </w:t>
            </w:r>
          </w:p>
        </w:tc>
        <w:tc>
          <w:tcPr>
            <w:tcW w:w="1613" w:type="dxa"/>
            <w:vAlign w:val="center"/>
          </w:tcPr>
          <w:p w14:paraId="0B4BA80D" w14:textId="77777777" w:rsidR="00B80923" w:rsidRPr="00B80923" w:rsidRDefault="00B80923" w:rsidP="00B80923">
            <w:pPr>
              <w:ind w:left="1"/>
              <w:jc w:val="center"/>
              <w:rPr>
                <w:rFonts w:eastAsia="Times New Roman" w:cstheme="minorHAnsi"/>
                <w:color w:val="000000"/>
                <w:sz w:val="20"/>
                <w:szCs w:val="20"/>
              </w:rPr>
            </w:pPr>
            <w:r w:rsidRPr="00B80923">
              <w:rPr>
                <w:rFonts w:eastAsia="Times New Roman" w:cstheme="minorHAnsi"/>
                <w:color w:val="000000"/>
                <w:sz w:val="20"/>
                <w:szCs w:val="20"/>
              </w:rPr>
              <w:t>0.2</w:t>
            </w:r>
          </w:p>
        </w:tc>
      </w:tr>
      <w:tr w:rsidR="00B80923" w:rsidRPr="00B80923" w14:paraId="769064F4" w14:textId="77777777" w:rsidTr="003376BB">
        <w:trPr>
          <w:trHeight w:val="20"/>
        </w:trPr>
        <w:tc>
          <w:tcPr>
            <w:tcW w:w="3911" w:type="dxa"/>
            <w:vAlign w:val="center"/>
          </w:tcPr>
          <w:p w14:paraId="2B65E420" w14:textId="77777777" w:rsidR="00B80923" w:rsidRPr="00B80923" w:rsidRDefault="00B80923" w:rsidP="00B80923">
            <w:pPr>
              <w:tabs>
                <w:tab w:val="center" w:pos="2609"/>
              </w:tabs>
              <w:rPr>
                <w:rFonts w:eastAsia="Times New Roman" w:cstheme="minorHAnsi"/>
                <w:color w:val="000000"/>
                <w:sz w:val="20"/>
                <w:szCs w:val="20"/>
              </w:rPr>
            </w:pPr>
            <w:r w:rsidRPr="00B80923">
              <w:rPr>
                <w:rFonts w:eastAsia="Times New Roman" w:cstheme="minorHAnsi"/>
                <w:color w:val="000000"/>
                <w:sz w:val="20"/>
                <w:szCs w:val="20"/>
              </w:rPr>
              <w:t xml:space="preserve">Niitty / vehreä puutarha </w:t>
            </w:r>
            <w:r w:rsidRPr="00B80923">
              <w:rPr>
                <w:rFonts w:eastAsia="Times New Roman" w:cstheme="minorHAnsi"/>
                <w:color w:val="000000"/>
                <w:sz w:val="20"/>
                <w:szCs w:val="20"/>
              </w:rPr>
              <w:tab/>
              <w:t xml:space="preserve"> </w:t>
            </w:r>
          </w:p>
        </w:tc>
        <w:tc>
          <w:tcPr>
            <w:tcW w:w="1613" w:type="dxa"/>
            <w:vAlign w:val="center"/>
          </w:tcPr>
          <w:p w14:paraId="7EED7437" w14:textId="77777777" w:rsidR="00B80923" w:rsidRPr="00B80923" w:rsidRDefault="00B80923" w:rsidP="00B80923">
            <w:pPr>
              <w:ind w:left="1"/>
              <w:jc w:val="center"/>
              <w:rPr>
                <w:rFonts w:eastAsia="Times New Roman" w:cstheme="minorHAnsi"/>
                <w:color w:val="000000"/>
                <w:sz w:val="20"/>
                <w:szCs w:val="20"/>
              </w:rPr>
            </w:pPr>
            <w:r w:rsidRPr="00B80923">
              <w:rPr>
                <w:rFonts w:eastAsia="Times New Roman" w:cstheme="minorHAnsi"/>
                <w:color w:val="000000"/>
                <w:sz w:val="20"/>
                <w:szCs w:val="20"/>
              </w:rPr>
              <w:t>0.1</w:t>
            </w:r>
          </w:p>
        </w:tc>
      </w:tr>
    </w:tbl>
    <w:p w14:paraId="1C7DD1F7" w14:textId="77777777" w:rsidR="00B80923" w:rsidRPr="00B80923" w:rsidRDefault="00B80923" w:rsidP="00B80923">
      <w:pPr>
        <w:spacing w:after="117" w:line="311" w:lineRule="auto"/>
        <w:ind w:left="-5" w:hanging="10"/>
        <w:rPr>
          <w:rFonts w:eastAsia="Times New Roman" w:cstheme="minorHAnsi"/>
          <w:color w:val="000000"/>
          <w:sz w:val="20"/>
          <w:szCs w:val="20"/>
          <w:lang w:eastAsia="fi-FI"/>
        </w:rPr>
      </w:pPr>
    </w:p>
    <w:p w14:paraId="21ECA4CF" w14:textId="77777777" w:rsidR="00B80923" w:rsidRPr="00B80923" w:rsidRDefault="00B80923" w:rsidP="00B80923">
      <w:pPr>
        <w:spacing w:after="117" w:line="311" w:lineRule="auto"/>
        <w:ind w:left="-5" w:hanging="10"/>
        <w:rPr>
          <w:rFonts w:eastAsia="Times New Roman" w:cstheme="minorHAnsi"/>
          <w:color w:val="000000"/>
          <w:sz w:val="20"/>
          <w:szCs w:val="20"/>
          <w:lang w:eastAsia="fi-FI"/>
        </w:rPr>
      </w:pPr>
      <w:r w:rsidRPr="00B80923">
        <w:rPr>
          <w:rFonts w:eastAsia="Times New Roman" w:cstheme="minorHAnsi"/>
          <w:color w:val="000000"/>
          <w:sz w:val="20"/>
          <w:szCs w:val="20"/>
          <w:lang w:eastAsia="fi-FI"/>
        </w:rPr>
        <w:t xml:space="preserve">Virtausmäärä /-nopeus ulos viivytysrakenteesta, hulevesiviemäriin tai avo-ojaan, lasketaan mitoitussateen, tontin pinta-alan ja luonnontilaisen maanpinnan valuntakertoimen tulolla. Luonnontilaisen tontin maanpinnan valuntakertoimena käytetään arvoa 0,2. Lähtökohtaisesti oletusarvona on aina vertaaminen luonnontilaiseen tonttiin. Ei siis muutoksena aiemmin rakennettuna olleeseen tontin tilanteeseen. Virtausnopeus hulevesijärjestelmään, säädetään virtausputkella tms. rakenteellisella osalla. Virtausaukon minimimitta n. 20 mm. Virtauksen säätö tulee sijaita sakkapesällisessä huoltokaivossa toiminnan tarkistuksen ja huollon takia. Maksimivirtausnopeus on kiinteistökohtainen kokonaismäärä. Määrää ei saa ylittää, vaikka liitoskohtia olisi poikkeuksellisesti useampia. </w:t>
      </w:r>
    </w:p>
    <w:p w14:paraId="0E7B55E5" w14:textId="77777777" w:rsidR="00B80923" w:rsidRPr="00B80923" w:rsidRDefault="00B80923" w:rsidP="00B80923">
      <w:pPr>
        <w:spacing w:after="117" w:line="311" w:lineRule="auto"/>
        <w:ind w:left="-5" w:hanging="10"/>
        <w:rPr>
          <w:rFonts w:eastAsia="Times New Roman" w:cstheme="minorHAnsi"/>
          <w:noProof/>
          <w:color w:val="000000"/>
          <w:sz w:val="20"/>
          <w:szCs w:val="20"/>
          <w:lang w:eastAsia="fi-FI"/>
        </w:rPr>
      </w:pPr>
      <w:r w:rsidRPr="00B80923">
        <w:rPr>
          <w:rFonts w:eastAsia="Times New Roman" w:cstheme="minorHAnsi"/>
          <w:noProof/>
          <w:color w:val="000000"/>
          <w:sz w:val="20"/>
          <w:szCs w:val="20"/>
          <w:lang w:eastAsia="fi-FI"/>
        </w:rPr>
        <w:drawing>
          <wp:inline distT="0" distB="0" distL="0" distR="0" wp14:anchorId="46EE6B6B" wp14:editId="439BC289">
            <wp:extent cx="3013726" cy="264795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32608" cy="2664540"/>
                    </a:xfrm>
                    <a:prstGeom prst="rect">
                      <a:avLst/>
                    </a:prstGeom>
                  </pic:spPr>
                </pic:pic>
              </a:graphicData>
            </a:graphic>
          </wp:inline>
        </w:drawing>
      </w:r>
      <w:r w:rsidRPr="00B80923">
        <w:rPr>
          <w:rFonts w:eastAsia="Times New Roman" w:cstheme="minorHAnsi"/>
          <w:noProof/>
          <w:color w:val="000000"/>
          <w:sz w:val="20"/>
          <w:szCs w:val="20"/>
          <w:lang w:eastAsia="fi-FI"/>
        </w:rPr>
        <w:t xml:space="preserve"> </w:t>
      </w:r>
      <w:r w:rsidRPr="00B80923">
        <w:rPr>
          <w:rFonts w:eastAsia="Times New Roman" w:cstheme="minorHAnsi"/>
          <w:noProof/>
          <w:color w:val="000000"/>
          <w:sz w:val="20"/>
          <w:szCs w:val="20"/>
          <w:lang w:eastAsia="fi-FI"/>
        </w:rPr>
        <w:drawing>
          <wp:inline distT="0" distB="0" distL="0" distR="0" wp14:anchorId="4982D35E" wp14:editId="3AF38F92">
            <wp:extent cx="4667250" cy="1852106"/>
            <wp:effectExtent l="0" t="0" r="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24318" cy="1874752"/>
                    </a:xfrm>
                    <a:prstGeom prst="rect">
                      <a:avLst/>
                    </a:prstGeom>
                  </pic:spPr>
                </pic:pic>
              </a:graphicData>
            </a:graphic>
          </wp:inline>
        </w:drawing>
      </w:r>
    </w:p>
    <w:p w14:paraId="2C9AEA9D" w14:textId="77777777" w:rsidR="00B80923" w:rsidRPr="00B80923" w:rsidRDefault="00B80923" w:rsidP="00B80923">
      <w:pPr>
        <w:spacing w:after="117" w:line="311" w:lineRule="auto"/>
        <w:ind w:left="-5" w:hanging="10"/>
        <w:rPr>
          <w:rFonts w:eastAsia="Times New Roman" w:cstheme="minorHAnsi"/>
          <w:color w:val="000000"/>
          <w:sz w:val="20"/>
          <w:szCs w:val="20"/>
          <w:lang w:eastAsia="fi-FI"/>
        </w:rPr>
      </w:pPr>
      <w:r w:rsidRPr="00B80923">
        <w:rPr>
          <w:rFonts w:eastAsia="Times New Roman" w:cstheme="minorHAnsi"/>
          <w:noProof/>
          <w:color w:val="000000"/>
          <w:sz w:val="20"/>
          <w:szCs w:val="20"/>
          <w:lang w:eastAsia="fi-FI"/>
        </w:rPr>
        <w:t>Esimerkki viivytysjärjestelmästä</w:t>
      </w:r>
    </w:p>
    <w:p w14:paraId="4E275A42" w14:textId="77777777" w:rsidR="004C7564" w:rsidRDefault="004C7564"/>
    <w:sectPr w:rsidR="004C756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F0E11"/>
    <w:multiLevelType w:val="hybridMultilevel"/>
    <w:tmpl w:val="0C64A13C"/>
    <w:lvl w:ilvl="0" w:tplc="040B0001">
      <w:start w:val="1"/>
      <w:numFmt w:val="bullet"/>
      <w:lvlText w:val=""/>
      <w:lvlJc w:val="left"/>
      <w:pPr>
        <w:ind w:left="370" w:hanging="360"/>
      </w:pPr>
      <w:rPr>
        <w:rFonts w:ascii="Symbol" w:hAnsi="Symbol" w:hint="default"/>
      </w:rPr>
    </w:lvl>
    <w:lvl w:ilvl="1" w:tplc="040B0003" w:tentative="1">
      <w:start w:val="1"/>
      <w:numFmt w:val="bullet"/>
      <w:lvlText w:val="o"/>
      <w:lvlJc w:val="left"/>
      <w:pPr>
        <w:ind w:left="1090" w:hanging="360"/>
      </w:pPr>
      <w:rPr>
        <w:rFonts w:ascii="Courier New" w:hAnsi="Courier New" w:cs="Courier New" w:hint="default"/>
      </w:rPr>
    </w:lvl>
    <w:lvl w:ilvl="2" w:tplc="040B0005" w:tentative="1">
      <w:start w:val="1"/>
      <w:numFmt w:val="bullet"/>
      <w:lvlText w:val=""/>
      <w:lvlJc w:val="left"/>
      <w:pPr>
        <w:ind w:left="1810" w:hanging="360"/>
      </w:pPr>
      <w:rPr>
        <w:rFonts w:ascii="Wingdings" w:hAnsi="Wingdings" w:hint="default"/>
      </w:rPr>
    </w:lvl>
    <w:lvl w:ilvl="3" w:tplc="040B0001" w:tentative="1">
      <w:start w:val="1"/>
      <w:numFmt w:val="bullet"/>
      <w:lvlText w:val=""/>
      <w:lvlJc w:val="left"/>
      <w:pPr>
        <w:ind w:left="2530" w:hanging="360"/>
      </w:pPr>
      <w:rPr>
        <w:rFonts w:ascii="Symbol" w:hAnsi="Symbol" w:hint="default"/>
      </w:rPr>
    </w:lvl>
    <w:lvl w:ilvl="4" w:tplc="040B0003" w:tentative="1">
      <w:start w:val="1"/>
      <w:numFmt w:val="bullet"/>
      <w:lvlText w:val="o"/>
      <w:lvlJc w:val="left"/>
      <w:pPr>
        <w:ind w:left="3250" w:hanging="360"/>
      </w:pPr>
      <w:rPr>
        <w:rFonts w:ascii="Courier New" w:hAnsi="Courier New" w:cs="Courier New" w:hint="default"/>
      </w:rPr>
    </w:lvl>
    <w:lvl w:ilvl="5" w:tplc="040B0005" w:tentative="1">
      <w:start w:val="1"/>
      <w:numFmt w:val="bullet"/>
      <w:lvlText w:val=""/>
      <w:lvlJc w:val="left"/>
      <w:pPr>
        <w:ind w:left="3970" w:hanging="360"/>
      </w:pPr>
      <w:rPr>
        <w:rFonts w:ascii="Wingdings" w:hAnsi="Wingdings" w:hint="default"/>
      </w:rPr>
    </w:lvl>
    <w:lvl w:ilvl="6" w:tplc="040B0001" w:tentative="1">
      <w:start w:val="1"/>
      <w:numFmt w:val="bullet"/>
      <w:lvlText w:val=""/>
      <w:lvlJc w:val="left"/>
      <w:pPr>
        <w:ind w:left="4690" w:hanging="360"/>
      </w:pPr>
      <w:rPr>
        <w:rFonts w:ascii="Symbol" w:hAnsi="Symbol" w:hint="default"/>
      </w:rPr>
    </w:lvl>
    <w:lvl w:ilvl="7" w:tplc="040B0003" w:tentative="1">
      <w:start w:val="1"/>
      <w:numFmt w:val="bullet"/>
      <w:lvlText w:val="o"/>
      <w:lvlJc w:val="left"/>
      <w:pPr>
        <w:ind w:left="5410" w:hanging="360"/>
      </w:pPr>
      <w:rPr>
        <w:rFonts w:ascii="Courier New" w:hAnsi="Courier New" w:cs="Courier New" w:hint="default"/>
      </w:rPr>
    </w:lvl>
    <w:lvl w:ilvl="8" w:tplc="040B0005" w:tentative="1">
      <w:start w:val="1"/>
      <w:numFmt w:val="bullet"/>
      <w:lvlText w:val=""/>
      <w:lvlJc w:val="left"/>
      <w:pPr>
        <w:ind w:left="61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923"/>
    <w:rsid w:val="004C7564"/>
    <w:rsid w:val="00AE5151"/>
    <w:rsid w:val="00B8092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6EF57"/>
  <w15:chartTrackingRefBased/>
  <w15:docId w15:val="{C98CD0EA-3A64-42F6-9DFD-48DEB994D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B80923"/>
    <w:pPr>
      <w:spacing w:after="0" w:line="240" w:lineRule="auto"/>
    </w:pPr>
    <w:rPr>
      <w:rFonts w:eastAsiaTheme="minorEastAsia"/>
      <w:lang w:eastAsia="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E23C9D76ED912D4AB9B5C79E213137C3" ma:contentTypeVersion="4" ma:contentTypeDescription="Luo uusi asiakirja." ma:contentTypeScope="" ma:versionID="52f1b90c5e39fb9f60ad575d6339afa8">
  <xsd:schema xmlns:xsd="http://www.w3.org/2001/XMLSchema" xmlns:xs="http://www.w3.org/2001/XMLSchema" xmlns:p="http://schemas.microsoft.com/office/2006/metadata/properties" xmlns:ns3="6f60802f-1240-4661-a293-67474ea90cfc" targetNamespace="http://schemas.microsoft.com/office/2006/metadata/properties" ma:root="true" ma:fieldsID="baa64122afcbe9f616e5f808f14163ec" ns3:_="">
    <xsd:import namespace="6f60802f-1240-4661-a293-67474ea90c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60802f-1240-4661-a293-67474ea90c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F71C9A-F792-4915-8EFC-E593E1FD71FA}">
  <ds:schemaRefs>
    <ds:schemaRef ds:uri="6f60802f-1240-4661-a293-67474ea90c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12F2F5A-8AFA-49CE-A539-4B91255F6D10}">
  <ds:schemaRefs>
    <ds:schemaRef ds:uri="http://schemas.microsoft.com/sharepoint/v3/contenttype/forms"/>
  </ds:schemaRefs>
</ds:datastoreItem>
</file>

<file path=customXml/itemProps3.xml><?xml version="1.0" encoding="utf-8"?>
<ds:datastoreItem xmlns:ds="http://schemas.openxmlformats.org/officeDocument/2006/customXml" ds:itemID="{C1EE13DD-16CB-411B-B6B2-219EA3CF9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60802f-1240-4661-a293-67474ea90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463</Words>
  <Characters>3754</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Tuusulan kunta</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Nissinen Jukka-Pekka</dc:creator>
  <cp:keywords/>
  <dc:description/>
  <cp:lastModifiedBy>Nissinen Jukka-Pekka</cp:lastModifiedBy>
  <cp:revision>3</cp:revision>
  <dcterms:created xsi:type="dcterms:W3CDTF">2024-08-15T07:15:00Z</dcterms:created>
  <dcterms:modified xsi:type="dcterms:W3CDTF">2024-12-04T05:22:00Z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0x010100E23C9D76ED912D4AB9B5C79E213137C3</vt:lpwstr>
  </property>
</Properties>
</file>